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Pr="00F03781" w:rsidRDefault="007E26F3" w:rsidP="00F03781">
      <w:pPr>
        <w:spacing w:line="480" w:lineRule="auto"/>
        <w:ind w:left="720" w:hanging="720"/>
        <w:jc w:val="center"/>
        <w:rPr>
          <w:rFonts w:ascii="Times New Roman" w:hAnsi="Times New Roman" w:cs="Times New Roman"/>
          <w:color w:val="222222"/>
          <w:sz w:val="24"/>
          <w:szCs w:val="24"/>
          <w:shd w:val="clear" w:color="auto" w:fill="FFFFFF"/>
        </w:rPr>
      </w:pPr>
      <w:r w:rsidRPr="00F03781">
        <w:rPr>
          <w:rFonts w:ascii="Times New Roman" w:hAnsi="Times New Roman" w:cs="Times New Roman"/>
          <w:color w:val="222222"/>
          <w:sz w:val="24"/>
          <w:szCs w:val="24"/>
          <w:shd w:val="clear" w:color="auto" w:fill="FFFFFF"/>
        </w:rPr>
        <w:t xml:space="preserve">Dolan v. City of Tigard 512 U.S. 687 </w:t>
      </w:r>
    </w:p>
    <w:p w:rsidR="00F03781" w:rsidRPr="00F03781" w:rsidRDefault="007E26F3"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Name</w:t>
      </w:r>
    </w:p>
    <w:p w:rsidR="00F03781" w:rsidRPr="00F03781" w:rsidRDefault="007E26F3"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Institutional Affiliation</w:t>
      </w:r>
    </w:p>
    <w:p w:rsidR="00F03781" w:rsidRPr="00F03781" w:rsidRDefault="007E26F3"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Date</w:t>
      </w:r>
    </w:p>
    <w:p w:rsidR="00F03781" w:rsidRDefault="00F03781" w:rsidP="00F03781">
      <w:pPr>
        <w:jc w:val="cente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Default="00F03781" w:rsidP="004138ED">
      <w:pPr>
        <w:rPr>
          <w:rFonts w:ascii="Arial" w:hAnsi="Arial" w:cs="Arial"/>
          <w:color w:val="222222"/>
          <w:shd w:val="clear" w:color="auto" w:fill="FFFFFF"/>
        </w:rPr>
      </w:pPr>
    </w:p>
    <w:p w:rsidR="00F03781" w:rsidRPr="00F03781" w:rsidRDefault="007E26F3" w:rsidP="00F03781">
      <w:pPr>
        <w:spacing w:after="0" w:line="480" w:lineRule="auto"/>
        <w:ind w:firstLine="851"/>
        <w:jc w:val="center"/>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lastRenderedPageBreak/>
        <w:t>Dolan v. City of Tigard 512 U.S. 687</w:t>
      </w:r>
    </w:p>
    <w:p w:rsidR="004138ED"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Dolan v. City of Tigard 512 U.S. 687 (1994) is a case that was presented to the supreme court in the USA, which involves landmark and zoning of property privileges. The case established limitations on cities and government agencies' power in using the land utilization regulations and zoning to influence the owners of properties in making public improvements for the zoning approval</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The USA's property law provides the rights of local and state administration in exercising power over real properties that are owned privately. Zoning aims to ensure that the utilization of property is compatible with state law. Zoning provides that novel developments do not harm businesses and residents.</w:t>
      </w:r>
    </w:p>
    <w:p w:rsidR="004138ED" w:rsidRPr="00F03781" w:rsidRDefault="007E26F3"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Details of the Case</w:t>
      </w:r>
    </w:p>
    <w:p w:rsidR="004138ED"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petitioner (Dolan), the </w:t>
      </w:r>
      <w:r w:rsidR="009B762E" w:rsidRPr="00F03781">
        <w:rPr>
          <w:rFonts w:ascii="Times New Roman" w:hAnsi="Times New Roman" w:cs="Times New Roman"/>
          <w:color w:val="000000" w:themeColor="text1"/>
          <w:sz w:val="24"/>
          <w:szCs w:val="24"/>
          <w:shd w:val="clear" w:color="auto" w:fill="FFFFFF"/>
        </w:rPr>
        <w:t xml:space="preserve">operator and </w:t>
      </w:r>
      <w:r w:rsidRPr="00F03781">
        <w:rPr>
          <w:rFonts w:ascii="Times New Roman" w:hAnsi="Times New Roman" w:cs="Times New Roman"/>
          <w:color w:val="000000" w:themeColor="text1"/>
          <w:sz w:val="24"/>
          <w:szCs w:val="24"/>
          <w:shd w:val="clear" w:color="auto" w:fill="FFFFFF"/>
        </w:rPr>
        <w:t xml:space="preserve">owner of </w:t>
      </w:r>
      <w:r w:rsidR="009B762E" w:rsidRPr="00F03781">
        <w:rPr>
          <w:rFonts w:ascii="Times New Roman" w:hAnsi="Times New Roman" w:cs="Times New Roman"/>
          <w:color w:val="000000" w:themeColor="text1"/>
          <w:sz w:val="24"/>
          <w:szCs w:val="24"/>
          <w:shd w:val="clear" w:color="auto" w:fill="FFFFFF"/>
        </w:rPr>
        <w:t>Boy Plumbing &amp; Electrical Supply in Tigard city, Oregon, requested the permit to develop the store and overlay a parking lot at the store. The municipality's planning commission provided permission, which was dependent on the acceptance of Dolan to give the land to the public greenway in the creek, to develop bicycle and pedestrian pathways to ensure that traffic challenges are solved</w:t>
      </w:r>
      <w:r w:rsidR="00F03781" w:rsidRPr="00F03781">
        <w:rPr>
          <w:rFonts w:ascii="Times New Roman" w:hAnsi="Times New Roman" w:cs="Times New Roman"/>
          <w:color w:val="000000" w:themeColor="text1"/>
          <w:sz w:val="24"/>
          <w:szCs w:val="24"/>
          <w:shd w:val="clear" w:color="auto" w:fill="FFFFFF"/>
        </w:rPr>
        <w:t xml:space="preserve"> (Callies, 1994)</w:t>
      </w:r>
      <w:r w:rsidR="009B762E" w:rsidRPr="00F03781">
        <w:rPr>
          <w:rFonts w:ascii="Times New Roman" w:hAnsi="Times New Roman" w:cs="Times New Roman"/>
          <w:color w:val="000000" w:themeColor="text1"/>
          <w:sz w:val="24"/>
          <w:szCs w:val="24"/>
          <w:shd w:val="clear" w:color="auto" w:fill="FFFFFF"/>
        </w:rPr>
        <w:t>. The decision provide</w:t>
      </w:r>
      <w:r w:rsidR="000A0B0B">
        <w:rPr>
          <w:rFonts w:ascii="Times New Roman" w:hAnsi="Times New Roman" w:cs="Times New Roman"/>
          <w:color w:val="000000" w:themeColor="text1"/>
          <w:sz w:val="24"/>
          <w:szCs w:val="24"/>
          <w:shd w:val="clear" w:color="auto" w:fill="FFFFFF"/>
        </w:rPr>
        <w:t>d was appealed to Oregon LUBA (Land use Board of A</w:t>
      </w:r>
      <w:r w:rsidR="009B762E" w:rsidRPr="00F03781">
        <w:rPr>
          <w:rFonts w:ascii="Times New Roman" w:hAnsi="Times New Roman" w:cs="Times New Roman"/>
          <w:color w:val="000000" w:themeColor="text1"/>
          <w:sz w:val="24"/>
          <w:szCs w:val="24"/>
          <w:shd w:val="clear" w:color="auto" w:fill="FFFFFF"/>
        </w:rPr>
        <w:t>ppeals), which provided that the land's dedication needs were not linked to the development proposed by the committee. Therefore, this constituted taking over the property without compensation, which was not allowed by the Fifth Amendment laws. LUBA realized a link between the development and the circumstances of variance because the building and pavement could lead to increased runoff to the creek</w:t>
      </w:r>
      <w:r w:rsidR="00F03781" w:rsidRPr="00F03781">
        <w:rPr>
          <w:rFonts w:ascii="Times New Roman" w:hAnsi="Times New Roman" w:cs="Times New Roman"/>
          <w:color w:val="000000" w:themeColor="text1"/>
          <w:sz w:val="24"/>
          <w:szCs w:val="24"/>
          <w:shd w:val="clear" w:color="auto" w:fill="FFFFFF"/>
        </w:rPr>
        <w:t xml:space="preserve"> (Crane, 1996)</w:t>
      </w:r>
      <w:r w:rsidR="009B762E" w:rsidRPr="00F03781">
        <w:rPr>
          <w:rFonts w:ascii="Times New Roman" w:hAnsi="Times New Roman" w:cs="Times New Roman"/>
          <w:color w:val="000000" w:themeColor="text1"/>
          <w:sz w:val="24"/>
          <w:szCs w:val="24"/>
          <w:shd w:val="clear" w:color="auto" w:fill="FFFFFF"/>
        </w:rPr>
        <w:t xml:space="preserve">. More so, the effects of increased traffic congestion provided a justified need for the pathway. </w:t>
      </w:r>
      <w:r w:rsidR="00A26D2F" w:rsidRPr="00F03781">
        <w:rPr>
          <w:rFonts w:ascii="Times New Roman" w:hAnsi="Times New Roman" w:cs="Times New Roman"/>
          <w:color w:val="000000" w:themeColor="text1"/>
          <w:sz w:val="24"/>
          <w:szCs w:val="24"/>
          <w:shd w:val="clear" w:color="auto" w:fill="FFFFFF"/>
        </w:rPr>
        <w:t>The case's decision was declared by the supreme court and court of appeal in the Oregon state. This case was appealed to the united states supreme court.</w:t>
      </w:r>
    </w:p>
    <w:p w:rsidR="000A0B0B" w:rsidRDefault="000A0B0B"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p>
    <w:p w:rsidR="00A26D2F" w:rsidRPr="00F03781" w:rsidRDefault="007E26F3"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lastRenderedPageBreak/>
        <w:t>Decisions</w:t>
      </w:r>
    </w:p>
    <w:p w:rsidR="00A26D2F"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The court held that the dedication of Oregon city requirements involves the taking of the property without compensation. The supreme court inverted LUBA and appellate courts. The court provided that the administrative agencies do not require an individual to give up legitimate privileges for discretionary</w:t>
      </w:r>
      <w:r w:rsidR="00F03781" w:rsidRPr="00F03781">
        <w:rPr>
          <w:rFonts w:ascii="Times New Roman" w:hAnsi="Times New Roman" w:cs="Times New Roman"/>
          <w:color w:val="000000" w:themeColor="text1"/>
          <w:sz w:val="24"/>
          <w:szCs w:val="24"/>
          <w:shd w:val="clear" w:color="auto" w:fill="FFFFFF"/>
        </w:rPr>
        <w:t xml:space="preserve"> benefits (Crane, 1996)</w:t>
      </w:r>
      <w:r w:rsidRPr="00F03781">
        <w:rPr>
          <w:rFonts w:ascii="Times New Roman" w:hAnsi="Times New Roman" w:cs="Times New Roman"/>
          <w:color w:val="000000" w:themeColor="text1"/>
          <w:sz w:val="24"/>
          <w:szCs w:val="24"/>
          <w:shd w:val="clear" w:color="auto" w:fill="FFFFFF"/>
        </w:rPr>
        <w:t xml:space="preserve">. Especially the surrender of an individual's rights cannot be surrendered when the property of concern has no or little link to the advantages conferred. The case applied a two-prong approach. One of the prongs is whether there was a necessary nexus amid the interests of the state and the permit requirements or not. Another spike was whether the degree of the required exactions by the permit's necessities </w:t>
      </w:r>
      <w:r w:rsidR="00A209FA" w:rsidRPr="00F03781">
        <w:rPr>
          <w:rFonts w:ascii="Times New Roman" w:hAnsi="Times New Roman" w:cs="Times New Roman"/>
          <w:color w:val="000000" w:themeColor="text1"/>
          <w:sz w:val="24"/>
          <w:szCs w:val="24"/>
          <w:shd w:val="clear" w:color="auto" w:fill="FFFFFF"/>
        </w:rPr>
        <w:t>had the necessary link to the impact projected by the proposed development.</w:t>
      </w:r>
    </w:p>
    <w:p w:rsidR="00A209FA"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The court provided that the initial condition in the prong had been satisfied. However, it was clear that the city did not establish individualized determination, which showed that the required effect's dedications were linked in both extent and nature concerning the proposed development</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More so, the necessity for the public greenway (opposed to the private in which Dolan would have the right of ownership of the property) was excessively presented. The city failed to establish the pathway that was proposed to offset the traffic influenced by the store's expansion.</w:t>
      </w:r>
    </w:p>
    <w:p w:rsidR="00A209FA" w:rsidRPr="00F03781" w:rsidRDefault="007E26F3"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Property Law Provisions</w:t>
      </w:r>
    </w:p>
    <w:p w:rsidR="00A209FA"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unconstitutional conditions </w:t>
      </w:r>
      <w:r w:rsidR="00B47D6A" w:rsidRPr="00F03781">
        <w:rPr>
          <w:rFonts w:ascii="Times New Roman" w:hAnsi="Times New Roman" w:cs="Times New Roman"/>
          <w:color w:val="000000" w:themeColor="text1"/>
          <w:sz w:val="24"/>
          <w:szCs w:val="24"/>
          <w:shd w:val="clear" w:color="auto" w:fill="FFFFFF"/>
        </w:rPr>
        <w:t>provide</w:t>
      </w:r>
      <w:r w:rsidRPr="00F03781">
        <w:rPr>
          <w:rFonts w:ascii="Times New Roman" w:hAnsi="Times New Roman" w:cs="Times New Roman"/>
          <w:color w:val="000000" w:themeColor="text1"/>
          <w:sz w:val="24"/>
          <w:szCs w:val="24"/>
          <w:shd w:val="clear" w:color="auto" w:fill="FFFFFF"/>
        </w:rPr>
        <w:t xml:space="preserve"> that the administration does not require an individual to give his or her constitutional right to exchange secretory profit deliberated by the state when the property involved has no or little link to benefit. In Dolan's case, it is significant to </w:t>
      </w:r>
      <w:r w:rsidR="00B47D6A" w:rsidRPr="00F03781">
        <w:rPr>
          <w:rFonts w:ascii="Times New Roman" w:hAnsi="Times New Roman" w:cs="Times New Roman"/>
          <w:color w:val="000000" w:themeColor="text1"/>
          <w:sz w:val="24"/>
          <w:szCs w:val="24"/>
          <w:shd w:val="clear" w:color="auto" w:fill="FFFFFF"/>
        </w:rPr>
        <w:t>determine if essential nexus is present amid the condition of the permit and interest of the state. The crucial nexus enhances private property's dedication to the public to be provided with a license for building</w:t>
      </w:r>
      <w:r w:rsidR="00F03781" w:rsidRPr="00F03781">
        <w:rPr>
          <w:rFonts w:ascii="Times New Roman" w:hAnsi="Times New Roman" w:cs="Times New Roman"/>
          <w:color w:val="000000" w:themeColor="text1"/>
          <w:sz w:val="24"/>
          <w:szCs w:val="24"/>
          <w:shd w:val="clear" w:color="auto" w:fill="FFFFFF"/>
        </w:rPr>
        <w:t xml:space="preserve"> (Shetty, 2011)</w:t>
      </w:r>
      <w:r w:rsidR="00B47D6A" w:rsidRPr="00F03781">
        <w:rPr>
          <w:rFonts w:ascii="Times New Roman" w:hAnsi="Times New Roman" w:cs="Times New Roman"/>
          <w:color w:val="000000" w:themeColor="text1"/>
          <w:sz w:val="24"/>
          <w:szCs w:val="24"/>
          <w:shd w:val="clear" w:color="auto" w:fill="FFFFFF"/>
        </w:rPr>
        <w:t xml:space="preserve">. The law has been stirring up various </w:t>
      </w:r>
      <w:r w:rsidR="00B47D6A" w:rsidRPr="00F03781">
        <w:rPr>
          <w:rFonts w:ascii="Times New Roman" w:hAnsi="Times New Roman" w:cs="Times New Roman"/>
          <w:color w:val="000000" w:themeColor="text1"/>
          <w:sz w:val="24"/>
          <w:szCs w:val="24"/>
          <w:shd w:val="clear" w:color="auto" w:fill="FFFFFF"/>
        </w:rPr>
        <w:lastRenderedPageBreak/>
        <w:t>reactions since the lack of compensation for the private institutions is not done effectively. However, the case provides an event where the need for the reduction of traffic congestion is paramount. Nexus exists amid the proposed purpose and the limitation of the store's development to provide an alternative means of transport. The community code provided that Dolan should leave at least 15% of the property open.</w:t>
      </w:r>
      <w:r w:rsidR="0032147C" w:rsidRPr="00F03781">
        <w:rPr>
          <w:rFonts w:ascii="Times New Roman" w:hAnsi="Times New Roman" w:cs="Times New Roman"/>
          <w:color w:val="000000" w:themeColor="text1"/>
          <w:sz w:val="24"/>
          <w:szCs w:val="24"/>
          <w:shd w:val="clear" w:color="auto" w:fill="FFFFFF"/>
        </w:rPr>
        <w:t xml:space="preserve"> Therefore, I agree with the court's ruling because it adhered to the provision of property laws. The government should not restrict land use unless there is proportionality </w:t>
      </w:r>
      <w:r w:rsidR="00F03781" w:rsidRPr="00F03781">
        <w:rPr>
          <w:rFonts w:ascii="Times New Roman" w:hAnsi="Times New Roman" w:cs="Times New Roman"/>
          <w:color w:val="000000" w:themeColor="text1"/>
          <w:sz w:val="24"/>
          <w:szCs w:val="24"/>
          <w:shd w:val="clear" w:color="auto" w:fill="FFFFFF"/>
        </w:rPr>
        <w:t>for the requirements provided for the utilization of the earth (Shetty, 2011). The supreme court found that the conditions were linked to the proposed development.</w:t>
      </w:r>
    </w:p>
    <w:p w:rsidR="00B47D6A" w:rsidRPr="00F03781" w:rsidRDefault="007E26F3"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Economic Analysis</w:t>
      </w:r>
    </w:p>
    <w:p w:rsidR="00B47D6A" w:rsidRPr="00F03781" w:rsidRDefault="007E26F3"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The case presents events where there are various economic effects amid the decision to expand the store and the decline of the permit—the petitioner aimed at constructing a larger store to enhance the attraction of the public to the property. More so, she wanted to improve control of the way people will enter and the time. However, the city provides that it intends to impose a recreational easement on the petitioner's property, which borders the Fano street</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xml:space="preserve">. The city's requirements mean that the petitioner would lose all the privileges linked to control of the time of entry by the public. It is agreeable that the construction of a larger </w:t>
      </w:r>
      <w:r w:rsidR="00027F5F" w:rsidRPr="00F03781">
        <w:rPr>
          <w:rFonts w:ascii="Times New Roman" w:hAnsi="Times New Roman" w:cs="Times New Roman"/>
          <w:color w:val="000000" w:themeColor="text1"/>
          <w:sz w:val="24"/>
          <w:szCs w:val="24"/>
          <w:shd w:val="clear" w:color="auto" w:fill="FFFFFF"/>
        </w:rPr>
        <w:t xml:space="preserve">store by the petitioner could lead to traffic congestion in the streets. The city suggested that development could lead to approximately 435 trips per day. The case does not provide the value of the petitioner's interest when the public is excluded in the business. However, the enlargement of the store is associated with adverse impacts on drainage and traffic congestion. However, the development is linked to greater economic impacts. The new taking of the Dolan </w:t>
      </w:r>
      <w:r w:rsidR="007E316E" w:rsidRPr="00F03781">
        <w:rPr>
          <w:rFonts w:ascii="Times New Roman" w:hAnsi="Times New Roman" w:cs="Times New Roman"/>
          <w:color w:val="000000" w:themeColor="text1"/>
          <w:sz w:val="24"/>
          <w:szCs w:val="24"/>
          <w:shd w:val="clear" w:color="auto" w:fill="FFFFFF"/>
        </w:rPr>
        <w:t>formulation imposes a hardship on all the parties in the city's planning and building, which sets adverse financial loss</w:t>
      </w:r>
      <w:r w:rsidR="00F03781" w:rsidRPr="00F03781">
        <w:rPr>
          <w:rFonts w:ascii="Times New Roman" w:hAnsi="Times New Roman" w:cs="Times New Roman"/>
          <w:color w:val="000000" w:themeColor="text1"/>
          <w:sz w:val="24"/>
          <w:szCs w:val="24"/>
          <w:shd w:val="clear" w:color="auto" w:fill="FFFFFF"/>
        </w:rPr>
        <w:t xml:space="preserve"> (Crane, 1996)</w:t>
      </w:r>
      <w:r w:rsidR="007E316E" w:rsidRPr="00F03781">
        <w:rPr>
          <w:rFonts w:ascii="Times New Roman" w:hAnsi="Times New Roman" w:cs="Times New Roman"/>
          <w:color w:val="000000" w:themeColor="text1"/>
          <w:sz w:val="24"/>
          <w:szCs w:val="24"/>
          <w:shd w:val="clear" w:color="auto" w:fill="FFFFFF"/>
        </w:rPr>
        <w:t xml:space="preserve">. For most of the building to comply and meet the town's requirements, the cost of construction was increased </w:t>
      </w:r>
      <w:r w:rsidR="007E316E" w:rsidRPr="00F03781">
        <w:rPr>
          <w:rFonts w:ascii="Times New Roman" w:hAnsi="Times New Roman" w:cs="Times New Roman"/>
          <w:color w:val="000000" w:themeColor="text1"/>
          <w:sz w:val="24"/>
          <w:szCs w:val="24"/>
          <w:shd w:val="clear" w:color="auto" w:fill="FFFFFF"/>
        </w:rPr>
        <w:lastRenderedPageBreak/>
        <w:t xml:space="preserve">following the demands raised from the case. The denial of the construction permits, which would be approved conditionally, serves none of the parties involves, including the public and most of the homes that might be victims of the lack of development. Uncertainty in the development of lands causes the property's value to be depressed, which affects the landowners. The delays of the plat, building permits, and site plan are the inevitable impacts of the Dolan case decision, which causes economic loss. The denial and uncertainty of access could also influence litigation. Many cases relating to developmental plans will also </w:t>
      </w:r>
      <w:r w:rsidR="0032147C" w:rsidRPr="00F03781">
        <w:rPr>
          <w:rFonts w:ascii="Times New Roman" w:hAnsi="Times New Roman" w:cs="Times New Roman"/>
          <w:color w:val="000000" w:themeColor="text1"/>
          <w:sz w:val="24"/>
          <w:szCs w:val="24"/>
          <w:shd w:val="clear" w:color="auto" w:fill="FFFFFF"/>
        </w:rPr>
        <w:t xml:space="preserve">be established, which </w:t>
      </w:r>
      <w:r w:rsidR="004C56C0" w:rsidRPr="00F03781">
        <w:rPr>
          <w:rFonts w:ascii="Times New Roman" w:hAnsi="Times New Roman" w:cs="Times New Roman"/>
          <w:color w:val="000000" w:themeColor="text1"/>
          <w:sz w:val="24"/>
          <w:szCs w:val="24"/>
          <w:shd w:val="clear" w:color="auto" w:fill="FFFFFF"/>
        </w:rPr>
        <w:t>lead to economic stagnation as businesses will</w:t>
      </w:r>
      <w:r w:rsidR="0032147C" w:rsidRPr="00F03781">
        <w:rPr>
          <w:rFonts w:ascii="Times New Roman" w:hAnsi="Times New Roman" w:cs="Times New Roman"/>
          <w:color w:val="000000" w:themeColor="text1"/>
          <w:sz w:val="24"/>
          <w:szCs w:val="24"/>
          <w:shd w:val="clear" w:color="auto" w:fill="FFFFFF"/>
        </w:rPr>
        <w:t xml:space="preserve"> lose money.</w:t>
      </w: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rsidR="00DB6B2A" w:rsidRPr="00DB6B2A" w:rsidRDefault="007E26F3"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DB6B2A">
        <w:rPr>
          <w:rFonts w:ascii="Times New Roman" w:hAnsi="Times New Roman" w:cs="Times New Roman"/>
          <w:b/>
          <w:bCs/>
          <w:color w:val="000000" w:themeColor="text1"/>
          <w:sz w:val="24"/>
          <w:szCs w:val="24"/>
          <w:shd w:val="clear" w:color="auto" w:fill="FFFFFF"/>
        </w:rPr>
        <w:t>References</w:t>
      </w:r>
    </w:p>
    <w:p w:rsidR="00DB6B2A" w:rsidRPr="00F03781" w:rsidRDefault="007E26F3"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Callies, D. (1994). After Nollan: Dolan v. City of Tigard. </w:t>
      </w:r>
      <w:r w:rsidRPr="00F03781">
        <w:rPr>
          <w:rFonts w:ascii="Times New Roman" w:hAnsi="Times New Roman" w:cs="Times New Roman"/>
          <w:i/>
          <w:iCs/>
          <w:color w:val="000000" w:themeColor="text1"/>
          <w:sz w:val="24"/>
          <w:szCs w:val="24"/>
          <w:shd w:val="clear" w:color="auto" w:fill="FFFFFF"/>
        </w:rPr>
        <w:t>Land Use Law &amp; Zoning Digest</w:t>
      </w:r>
      <w:r w:rsidRPr="00F03781">
        <w:rPr>
          <w:rFonts w:ascii="Times New Roman" w:hAnsi="Times New Roman" w:cs="Times New Roman"/>
          <w:color w:val="000000" w:themeColor="text1"/>
          <w:sz w:val="24"/>
          <w:szCs w:val="24"/>
          <w:shd w:val="clear" w:color="auto" w:fill="FFFFFF"/>
        </w:rPr>
        <w:t>, </w:t>
      </w:r>
      <w:r w:rsidRPr="00F03781">
        <w:rPr>
          <w:rFonts w:ascii="Times New Roman" w:hAnsi="Times New Roman" w:cs="Times New Roman"/>
          <w:i/>
          <w:iCs/>
          <w:color w:val="000000" w:themeColor="text1"/>
          <w:sz w:val="24"/>
          <w:szCs w:val="24"/>
          <w:shd w:val="clear" w:color="auto" w:fill="FFFFFF"/>
        </w:rPr>
        <w:t>46</w:t>
      </w:r>
      <w:r w:rsidRPr="00F03781">
        <w:rPr>
          <w:rFonts w:ascii="Times New Roman" w:hAnsi="Times New Roman" w:cs="Times New Roman"/>
          <w:color w:val="000000" w:themeColor="text1"/>
          <w:sz w:val="24"/>
          <w:szCs w:val="24"/>
          <w:shd w:val="clear" w:color="auto" w:fill="FFFFFF"/>
        </w:rPr>
        <w:t xml:space="preserve">(2), 4-5. </w:t>
      </w:r>
      <w:r w:rsidR="00FD2740">
        <w:rPr>
          <w:rFonts w:ascii="Times New Roman" w:hAnsi="Times New Roman" w:cs="Times New Roman"/>
          <w:color w:val="000000" w:themeColor="text1"/>
          <w:sz w:val="24"/>
          <w:szCs w:val="24"/>
          <w:shd w:val="clear" w:color="auto" w:fill="FFFFFF"/>
        </w:rPr>
        <w:t xml:space="preserve">Retrieved  from </w:t>
      </w:r>
      <w:hyperlink r:id="rId6" w:history="1">
        <w:r w:rsidRPr="00F03781">
          <w:rPr>
            <w:rStyle w:val="Hyperlink"/>
            <w:rFonts w:ascii="Times New Roman" w:hAnsi="Times New Roman" w:cs="Times New Roman"/>
            <w:color w:val="000000" w:themeColor="text1"/>
            <w:sz w:val="24"/>
            <w:szCs w:val="24"/>
            <w:u w:val="none"/>
            <w:shd w:val="clear" w:color="auto" w:fill="FFFFFF"/>
          </w:rPr>
          <w:t>https://doi.org/10.1080/00947598.1994.10395833</w:t>
        </w:r>
      </w:hyperlink>
    </w:p>
    <w:p w:rsidR="00DB6B2A" w:rsidRPr="00F03781" w:rsidRDefault="007E26F3"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Crane, D. (1996). A Poor Relation? Regulatory Takings after the Dolan v City of Tigard. </w:t>
      </w:r>
      <w:r w:rsidRPr="00F03781">
        <w:rPr>
          <w:rFonts w:ascii="Times New Roman" w:hAnsi="Times New Roman" w:cs="Times New Roman"/>
          <w:i/>
          <w:iCs/>
          <w:color w:val="000000" w:themeColor="text1"/>
          <w:sz w:val="24"/>
          <w:szCs w:val="24"/>
          <w:shd w:val="clear" w:color="auto" w:fill="FFFFFF"/>
        </w:rPr>
        <w:t>The University of Chicago Law Review</w:t>
      </w:r>
      <w:r w:rsidRPr="00F03781">
        <w:rPr>
          <w:rFonts w:ascii="Times New Roman" w:hAnsi="Times New Roman" w:cs="Times New Roman"/>
          <w:color w:val="000000" w:themeColor="text1"/>
          <w:sz w:val="24"/>
          <w:szCs w:val="24"/>
          <w:shd w:val="clear" w:color="auto" w:fill="FFFFFF"/>
        </w:rPr>
        <w:t>, </w:t>
      </w:r>
      <w:r w:rsidRPr="00F03781">
        <w:rPr>
          <w:rFonts w:ascii="Times New Roman" w:hAnsi="Times New Roman" w:cs="Times New Roman"/>
          <w:i/>
          <w:iCs/>
          <w:color w:val="000000" w:themeColor="text1"/>
          <w:sz w:val="24"/>
          <w:szCs w:val="24"/>
          <w:shd w:val="clear" w:color="auto" w:fill="FFFFFF"/>
        </w:rPr>
        <w:t>63</w:t>
      </w:r>
      <w:r w:rsidRPr="00F03781">
        <w:rPr>
          <w:rFonts w:ascii="Times New Roman" w:hAnsi="Times New Roman" w:cs="Times New Roman"/>
          <w:color w:val="000000" w:themeColor="text1"/>
          <w:sz w:val="24"/>
          <w:szCs w:val="24"/>
          <w:shd w:val="clear" w:color="auto" w:fill="FFFFFF"/>
        </w:rPr>
        <w:t xml:space="preserve">(1), 199. </w:t>
      </w:r>
      <w:hyperlink r:id="rId7" w:history="1">
        <w:r w:rsidRPr="00F03781">
          <w:rPr>
            <w:rStyle w:val="Hyperlink"/>
            <w:rFonts w:ascii="Times New Roman" w:hAnsi="Times New Roman" w:cs="Times New Roman"/>
            <w:color w:val="000000" w:themeColor="text1"/>
            <w:sz w:val="24"/>
            <w:szCs w:val="24"/>
            <w:u w:val="none"/>
            <w:shd w:val="clear" w:color="auto" w:fill="FFFFFF"/>
          </w:rPr>
          <w:t>https://doi.org/10.2307/1600069</w:t>
        </w:r>
      </w:hyperlink>
    </w:p>
    <w:p w:rsidR="00DB6B2A" w:rsidRPr="00F03781" w:rsidRDefault="007E26F3"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Shetty, V. (2011). Intellectual Property Laws v. Anti Trust Laws. </w:t>
      </w:r>
      <w:r w:rsidRPr="00F03781">
        <w:rPr>
          <w:rFonts w:ascii="Times New Roman" w:hAnsi="Times New Roman" w:cs="Times New Roman"/>
          <w:i/>
          <w:iCs/>
          <w:color w:val="000000" w:themeColor="text1"/>
          <w:sz w:val="24"/>
          <w:szCs w:val="24"/>
          <w:shd w:val="clear" w:color="auto" w:fill="FFFFFF"/>
        </w:rPr>
        <w:t>SSRN Electronic Journal</w:t>
      </w:r>
      <w:r w:rsidRPr="00F03781">
        <w:rPr>
          <w:rFonts w:ascii="Times New Roman" w:hAnsi="Times New Roman" w:cs="Times New Roman"/>
          <w:color w:val="000000" w:themeColor="text1"/>
          <w:sz w:val="24"/>
          <w:szCs w:val="24"/>
          <w:shd w:val="clear" w:color="auto" w:fill="FFFFFF"/>
        </w:rPr>
        <w:t>. https://doi.org/10.2139/ssrn.2168037</w:t>
      </w:r>
    </w:p>
    <w:sectPr w:rsidR="00DB6B2A" w:rsidRPr="00F03781" w:rsidSect="00A6178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3FF" w:rsidRDefault="009133FF" w:rsidP="00A61789">
      <w:pPr>
        <w:spacing w:after="0" w:line="240" w:lineRule="auto"/>
      </w:pPr>
      <w:r>
        <w:separator/>
      </w:r>
    </w:p>
  </w:endnote>
  <w:endnote w:type="continuationSeparator" w:id="1">
    <w:p w:rsidR="009133FF" w:rsidRDefault="009133FF" w:rsidP="00A617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3FF" w:rsidRDefault="009133FF" w:rsidP="00A61789">
      <w:pPr>
        <w:spacing w:after="0" w:line="240" w:lineRule="auto"/>
      </w:pPr>
      <w:r>
        <w:separator/>
      </w:r>
    </w:p>
  </w:footnote>
  <w:footnote w:type="continuationSeparator" w:id="1">
    <w:p w:rsidR="009133FF" w:rsidRDefault="009133FF" w:rsidP="00A617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9202956"/>
      <w:docPartObj>
        <w:docPartGallery w:val="Page Numbers (Top of Page)"/>
        <w:docPartUnique/>
      </w:docPartObj>
    </w:sdtPr>
    <w:sdtEndPr>
      <w:rPr>
        <w:rFonts w:ascii="Times New Roman" w:hAnsi="Times New Roman" w:cs="Times New Roman"/>
        <w:noProof/>
        <w:sz w:val="24"/>
        <w:szCs w:val="24"/>
      </w:rPr>
    </w:sdtEndPr>
    <w:sdtContent>
      <w:p w:rsidR="00F03781" w:rsidRPr="00F03781" w:rsidRDefault="000A0B0B">
        <w:pPr>
          <w:pStyle w:val="Header"/>
          <w:jc w:val="right"/>
          <w:rPr>
            <w:rFonts w:ascii="Times New Roman" w:hAnsi="Times New Roman" w:cs="Times New Roman"/>
            <w:sz w:val="24"/>
            <w:szCs w:val="24"/>
          </w:rPr>
        </w:pPr>
        <w:r>
          <w:t xml:space="preserve"> </w:t>
        </w:r>
        <w:r w:rsidR="00510B1D" w:rsidRPr="00F03781">
          <w:rPr>
            <w:rFonts w:ascii="Times New Roman" w:hAnsi="Times New Roman" w:cs="Times New Roman"/>
            <w:sz w:val="24"/>
            <w:szCs w:val="24"/>
          </w:rPr>
          <w:fldChar w:fldCharType="begin"/>
        </w:r>
        <w:r w:rsidR="007E26F3" w:rsidRPr="00F03781">
          <w:rPr>
            <w:rFonts w:ascii="Times New Roman" w:hAnsi="Times New Roman" w:cs="Times New Roman"/>
            <w:sz w:val="24"/>
            <w:szCs w:val="24"/>
          </w:rPr>
          <w:instrText xml:space="preserve"> PAGE   \* MERGEFORMAT </w:instrText>
        </w:r>
        <w:r w:rsidR="00510B1D" w:rsidRPr="00F03781">
          <w:rPr>
            <w:rFonts w:ascii="Times New Roman" w:hAnsi="Times New Roman" w:cs="Times New Roman"/>
            <w:sz w:val="24"/>
            <w:szCs w:val="24"/>
          </w:rPr>
          <w:fldChar w:fldCharType="separate"/>
        </w:r>
        <w:r w:rsidR="004C56C0">
          <w:rPr>
            <w:rFonts w:ascii="Times New Roman" w:hAnsi="Times New Roman" w:cs="Times New Roman"/>
            <w:noProof/>
            <w:sz w:val="24"/>
            <w:szCs w:val="24"/>
          </w:rPr>
          <w:t>4</w:t>
        </w:r>
        <w:r w:rsidR="00510B1D" w:rsidRPr="00F03781">
          <w:rPr>
            <w:rFonts w:ascii="Times New Roman" w:hAnsi="Times New Roman" w:cs="Times New Roman"/>
            <w:noProof/>
            <w:sz w:val="24"/>
            <w:szCs w:val="24"/>
          </w:rPr>
          <w:fldChar w:fldCharType="end"/>
        </w:r>
      </w:p>
    </w:sdtContent>
  </w:sdt>
  <w:p w:rsidR="00F03781" w:rsidRDefault="00F03781">
    <w:pPr>
      <w:pStyle w:val="Header"/>
    </w:pPr>
  </w:p>
  <w:p w:rsidR="00F03781" w:rsidRDefault="00F0378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38ED"/>
    <w:rsid w:val="00027F5F"/>
    <w:rsid w:val="000A0B0B"/>
    <w:rsid w:val="001B45E6"/>
    <w:rsid w:val="0032147C"/>
    <w:rsid w:val="004138ED"/>
    <w:rsid w:val="00483D86"/>
    <w:rsid w:val="004C56C0"/>
    <w:rsid w:val="00510B1D"/>
    <w:rsid w:val="007C4513"/>
    <w:rsid w:val="007E26F3"/>
    <w:rsid w:val="007E316E"/>
    <w:rsid w:val="009133FF"/>
    <w:rsid w:val="009B762E"/>
    <w:rsid w:val="00A209FA"/>
    <w:rsid w:val="00A26D2F"/>
    <w:rsid w:val="00A61789"/>
    <w:rsid w:val="00AF0C7A"/>
    <w:rsid w:val="00B47D6A"/>
    <w:rsid w:val="00B860AE"/>
    <w:rsid w:val="00DB6B2A"/>
    <w:rsid w:val="00F03781"/>
    <w:rsid w:val="00FD27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47C"/>
    <w:rPr>
      <w:color w:val="0563C1" w:themeColor="hyperlink"/>
      <w:u w:val="single"/>
    </w:rPr>
  </w:style>
  <w:style w:type="character" w:customStyle="1" w:styleId="UnresolvedMention">
    <w:name w:val="Unresolved Mention"/>
    <w:basedOn w:val="DefaultParagraphFont"/>
    <w:uiPriority w:val="99"/>
    <w:semiHidden/>
    <w:unhideWhenUsed/>
    <w:rsid w:val="0032147C"/>
    <w:rPr>
      <w:color w:val="605E5C"/>
      <w:shd w:val="clear" w:color="auto" w:fill="E1DFDD"/>
    </w:rPr>
  </w:style>
  <w:style w:type="paragraph" w:styleId="Header">
    <w:name w:val="header"/>
    <w:basedOn w:val="Normal"/>
    <w:link w:val="HeaderChar"/>
    <w:uiPriority w:val="99"/>
    <w:unhideWhenUsed/>
    <w:rsid w:val="00F037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781"/>
  </w:style>
  <w:style w:type="paragraph" w:styleId="Footer">
    <w:name w:val="footer"/>
    <w:basedOn w:val="Normal"/>
    <w:link w:val="FooterChar"/>
    <w:uiPriority w:val="99"/>
    <w:unhideWhenUsed/>
    <w:rsid w:val="00F037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7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307/16000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0947598.1994.1039583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2020-10-14T23:06:00Z</dcterms:created>
  <dcterms:modified xsi:type="dcterms:W3CDTF">2020-10-14T23:06:00Z</dcterms:modified>
</cp:coreProperties>
</file>